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B64E0D7" w14:textId="77777777" w:rsidR="008469AA" w:rsidRDefault="00000000">
      <w:pPr>
        <w:pStyle w:val="Heading2"/>
        <w:rPr>
          <w:rFonts w:hint="eastAsia"/>
        </w:rPr>
      </w:pPr>
      <w:r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81287FA" w14:textId="77777777" w:rsidR="008469AA" w:rsidRDefault="00000000">
      <w:r>
        <w:t xml:space="preserve">A student says 3:5 and 6:8 are equivalent because both numbers increased.</w:t>
      </w:r>
    </w:p>
    <w:p w14:paraId="19F73CA4" w14:textId="77777777" w:rsidR="008469AA" w:rsidRDefault="00000000">
      <w:pPr>
        <w:pStyle w:val="BodyText"/>
      </w:pPr>
      <w:r>
        <w:t>Is the student correct?</w:t>
      </w:r>
    </w:p>
    <w:p w14:paraId="3CDE299C" w14:textId="77777777" w:rsidR="008469AA" w:rsidRDefault="00000000">
      <w:pPr>
        <w:pStyle w:val="BodyText"/>
        <w:keepNext/>
      </w:pPr>
      <w:r>
        <w:t>No. From 3 to 6 the scale factor is 2. Applying the same factor to 5 gives 10, not 8. Therefore, 3:5 is equivalent to 6:10, not 6:8.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13: Solving Proportions with More Than One Strategy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